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ind w:hanging="360" w:left="0" w:right="0"/>
        <w:jc w:val="center"/>
        <w:rPr>
          <w:rFonts w:ascii="CG Times" w:hAnsi="CG Times"/>
          <w:b/>
          <w:color w:val="000000"/>
          <w:sz w:val="22"/>
        </w:rPr>
      </w:pPr>
      <w:bookmarkStart w:id="0" w:name="_GoBack"/>
      <w:bookmarkStart w:id="1" w:name="_GoBack"/>
      <w:bookmarkEnd w:id="1"/>
      <w:r>
        <w:rPr>
          <w:rFonts w:ascii="CG Times" w:hAnsi="CG Times"/>
          <w:b/>
          <w:color w:val="000000"/>
          <w:sz w:val="22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2"/>
        </w:rPr>
      </w:pPr>
      <w:r>
        <w:rPr>
          <w:rFonts w:ascii="CG Times" w:hAnsi="CG Times"/>
          <w:b/>
          <w:color w:val="000000"/>
          <w:sz w:val="22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2"/>
        </w:rPr>
      </w:pPr>
      <w:r>
        <w:rPr>
          <w:rFonts w:ascii="CG Times" w:hAnsi="CG Times"/>
          <w:b/>
          <w:color w:val="000000"/>
          <w:sz w:val="22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2"/>
        </w:rPr>
      </w:pPr>
      <w:r>
        <w:rPr>
          <w:rFonts w:ascii="CG Times" w:hAnsi="CG Times"/>
          <w:b/>
          <w:color w:val="000000"/>
          <w:sz w:val="22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2"/>
          <w:szCs w:val="22"/>
        </w:rPr>
      </w:pPr>
      <w:r>
        <w:rPr>
          <w:rFonts w:ascii="CG Times" w:hAnsi="CG Times"/>
          <w:b/>
          <w:color w:val="000000"/>
          <w:sz w:val="22"/>
          <w:szCs w:val="22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  <w:t>KING COUNTY SUPERIOR COURT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  <w:t xml:space="preserve">CASE ASSIGNMENT DESIGNATION </w:t>
      </w:r>
    </w:p>
    <w:p>
      <w:pPr>
        <w:pStyle w:val="style0"/>
        <w:jc w:val="center"/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  <w:t>and</w:t>
      </w:r>
    </w:p>
    <w:p>
      <w:pPr>
        <w:pStyle w:val="style0"/>
        <w:jc w:val="center"/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  <w:t>CASE INFORMATION COVER SHEET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  <w:t>(cics)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color w:val="000000"/>
          <w:sz w:val="20"/>
        </w:rPr>
      </w:pPr>
      <w:r>
        <w:rPr>
          <w:rFonts w:ascii="CG Times" w:hAnsi="CG Times"/>
          <w:color w:val="000000"/>
          <w:sz w:val="20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color w:val="000000"/>
          <w:sz w:val="20"/>
        </w:rPr>
        <w:t>In accordance with LCR82 (e), a</w:t>
      </w:r>
      <w:r>
        <w:rPr>
          <w:rFonts w:ascii="CG Times" w:hAnsi="CG Times"/>
          <w:sz w:val="20"/>
        </w:rPr>
        <w:t xml:space="preserve"> faulty document fee of $15 will be assessed to new case filings missing this sheet pursuant to King County Code 4A.630.060.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b/>
          <w:color w:val="000000"/>
          <w:sz w:val="20"/>
        </w:rPr>
      </w:pPr>
      <w:r>
        <w:rPr>
          <w:rFonts w:ascii="CG Times" w:hAnsi="CG Times"/>
          <w:b/>
          <w:color w:val="000000"/>
          <w:sz w:val="20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20"/>
        </w:rPr>
        <w:tab/>
        <w:tab/>
      </w:r>
      <w:r>
        <w:rPr>
          <w:rFonts w:ascii="CG Times" w:hAnsi="CG Times"/>
          <w:b/>
          <w:color w:val="000000"/>
          <w:sz w:val="18"/>
          <w:szCs w:val="18"/>
        </w:rPr>
        <w:t>CASE NUMBER: ________________________________________________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b/>
          <w:bCs/>
          <w:color w:val="000000"/>
          <w:sz w:val="18"/>
          <w:szCs w:val="18"/>
        </w:rPr>
      </w:pPr>
      <w:r>
        <w:rPr>
          <w:rFonts w:ascii="CG Times" w:hAnsi="CG Times"/>
          <w:b/>
          <w:bCs/>
          <w:color w:val="000000"/>
          <w:sz w:val="18"/>
          <w:szCs w:val="18"/>
        </w:rPr>
        <w:tab/>
        <w:tab/>
        <w:t>CASE</w:t>
      </w:r>
      <w:r>
        <w:rPr>
          <w:rFonts w:ascii="CG Times" w:hAnsi="CG Times"/>
          <w:color w:val="000000"/>
          <w:sz w:val="18"/>
          <w:szCs w:val="18"/>
        </w:rPr>
        <w:t xml:space="preserve"> </w:t>
      </w:r>
      <w:r>
        <w:rPr>
          <w:rFonts w:ascii="CG Times" w:hAnsi="CG Times"/>
          <w:b/>
          <w:bCs/>
          <w:color w:val="000000"/>
          <w:sz w:val="18"/>
          <w:szCs w:val="18"/>
        </w:rPr>
        <w:t>CAPTION: ________________________________________________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color w:val="000000"/>
          <w:sz w:val="18"/>
          <w:szCs w:val="18"/>
        </w:rPr>
      </w:pPr>
      <w:r>
        <w:rPr>
          <w:rFonts w:ascii="CG Times" w:hAnsi="CG Times"/>
          <w:color w:val="000000"/>
          <w:sz w:val="18"/>
          <w:szCs w:val="18"/>
        </w:rPr>
        <w:t xml:space="preserve">                              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color w:val="000000"/>
          <w:sz w:val="20"/>
        </w:rPr>
      </w:pPr>
      <w:r>
        <w:rPr>
          <w:rFonts w:ascii="CG Times" w:hAnsi="CG Times"/>
          <w:color w:val="000000"/>
          <w:sz w:val="20"/>
        </w:rPr>
        <w:t xml:space="preserve">I certify that this case meets the case assignment criteria, described in King County LCR 82(e), for the:  </w:t>
      </w:r>
    </w:p>
    <w:p>
      <w:pPr>
        <w:pStyle w:val="style0"/>
        <w:tabs>
          <w:tab w:leader="none" w:pos="11370" w:val="left"/>
        </w:tabs>
        <w:spacing w:after="0" w:before="120"/>
        <w:contextualSpacing w:val="false"/>
        <w:rPr>
          <w:rFonts w:ascii="CG Times" w:hAnsi="CG Times"/>
          <w:color w:val="000000"/>
          <w:sz w:val="20"/>
        </w:rPr>
      </w:pPr>
      <w:r>
        <w:rPr>
          <w:rFonts w:ascii="CG Times" w:hAnsi="CG Times"/>
          <w:color w:val="000000"/>
          <w:sz w:val="20"/>
        </w:rPr>
        <w:t xml:space="preserve">________ </w:t>
      </w:r>
      <w:r>
        <w:rPr>
          <w:rFonts w:ascii="CG Times" w:hAnsi="CG Times"/>
          <w:b/>
          <w:color w:val="000000"/>
          <w:sz w:val="20"/>
        </w:rPr>
        <w:t>Seattle Area</w:t>
      </w:r>
      <w:r>
        <w:rPr>
          <w:rFonts w:ascii="CG Times" w:hAnsi="CG Times"/>
          <w:color w:val="000000"/>
          <w:sz w:val="20"/>
        </w:rPr>
        <w:t xml:space="preserve">, defined as: 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spacing w:after="0" w:before="120"/>
        <w:ind w:hanging="0" w:left="2880" w:right="0"/>
        <w:contextualSpacing w:val="false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All of King County north of Interstate 90 and including all of the Interstate 90 right-of-way; all the cities of Seattle, Mercer Island, Bellevue, Issaquah and North Bend; and all of Vashon and Maury Islands.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spacing w:after="0" w:before="120"/>
        <w:contextualSpacing w:val="false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 xml:space="preserve">_________ </w:t>
      </w:r>
      <w:r>
        <w:rPr>
          <w:rFonts w:ascii="CG Times" w:hAnsi="CG Times"/>
          <w:b/>
          <w:sz w:val="20"/>
        </w:rPr>
        <w:t>Kent Area</w:t>
      </w:r>
      <w:r>
        <w:rPr>
          <w:rFonts w:ascii="CG Times" w:hAnsi="CG Times"/>
          <w:sz w:val="20"/>
        </w:rPr>
        <w:t>, defined as: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spacing w:after="0" w:before="120"/>
        <w:ind w:hanging="2880" w:left="2880" w:right="0"/>
        <w:contextualSpacing w:val="false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ab/>
        <w:tab/>
        <w:tab/>
        <w:tab/>
        <w:t>All of King County south of Interstate 90 except those areas included in the Seattle Case Assignment Area.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ind w:hanging="2880" w:left="2880" w:right="0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ind w:hanging="2880" w:left="2880" w:right="0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ind w:hanging="2880" w:left="2880" w:right="0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____________________________________</w:t>
        <w:tab/>
        <w:tab/>
        <w:t xml:space="preserve">         ______________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Signature of Petitioner/Plaintiff</w:t>
        <w:tab/>
        <w:tab/>
        <w:tab/>
        <w:t xml:space="preserve">         </w:t>
        <w:tab/>
        <w:tab/>
        <w:t>Date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spacing w:after="120" w:before="120"/>
        <w:contextualSpacing w:val="false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or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____________________________________</w:t>
        <w:tab/>
        <w:tab/>
        <w:t xml:space="preserve">        ______________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 xml:space="preserve">Signature of Attorney for </w:t>
        <w:tab/>
        <w:tab/>
        <w:tab/>
        <w:tab/>
        <w:t xml:space="preserve">        </w:t>
        <w:tab/>
        <w:t>Date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Petitioner/Plaintiff</w:t>
        <w:tab/>
        <w:tab/>
        <w:tab/>
        <w:tab/>
        <w:tab/>
        <w:tab/>
        <w:tab/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spacing w:after="0" w:before="120"/>
        <w:contextualSpacing w:val="false"/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__________________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2880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rPr>
          <w:rFonts w:ascii="CG Times" w:hAnsi="CG Times"/>
          <w:sz w:val="20"/>
        </w:rPr>
      </w:pPr>
      <w:r>
        <w:rPr>
          <w:rFonts w:ascii="CG Times" w:hAnsi="CG Times"/>
          <w:sz w:val="20"/>
        </w:rPr>
        <w:t>WSBA Number</w:t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KING COUNTY SUPERIOR COURT</w:t>
      </w:r>
    </w:p>
    <w:p>
      <w:pPr>
        <w:pStyle w:val="style0"/>
        <w:tabs>
          <w:tab w:leader="none" w:pos="180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CASE ASSIGNMENT DESIGNATION</w:t>
      </w:r>
    </w:p>
    <w:p>
      <w:pPr>
        <w:pStyle w:val="style0"/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and</w:t>
      </w:r>
    </w:p>
    <w:p>
      <w:pPr>
        <w:pStyle w:val="style0"/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CASE INFORMATION COVER SHEET</w:t>
      </w:r>
    </w:p>
    <w:p>
      <w:pPr>
        <w:pStyle w:val="style0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Please check </w:t>
      </w:r>
      <w:r>
        <w:rPr>
          <w:rFonts w:ascii="CG Times" w:hAnsi="CG Times"/>
          <w:sz w:val="18"/>
          <w:szCs w:val="18"/>
          <w:u w:val="single"/>
        </w:rPr>
        <w:t xml:space="preserve">one </w:t>
      </w:r>
      <w:r>
        <w:rPr>
          <w:rFonts w:ascii="CG Times" w:hAnsi="CG Times"/>
          <w:sz w:val="18"/>
          <w:szCs w:val="18"/>
        </w:rPr>
        <w:t>category that best describes this case for indexing purposes.  Accurate case indexing not only saves time but also helps in forecasting judicial resources.  A faulty document fee of $15 will be assessed to new case filings missing this sheet pursuant to Administrative Rule 2 and King County Code 4A.630.060.</w:t>
      </w:r>
    </w:p>
    <w:p>
      <w:pPr>
        <w:pStyle w:val="style23"/>
        <w:spacing w:line="140" w:lineRule="exact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jc w:val="left"/>
        <w:tblInd w:type="dxa" w:w="41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5"/>
        <w:gridCol w:w="4511"/>
        <w:gridCol w:w="235"/>
        <w:gridCol w:w="4502"/>
      </w:tblGrid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ADOPTION/PARENTAGE</w:t>
            </w:r>
          </w:p>
        </w:tc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spacing w:line="220" w:lineRule="exact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type="dxa" w:w="4502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spacing w:line="220" w:lineRule="exact"/>
              <w:rPr>
                <w:rFonts w:ascii="CG Times" w:hAnsi="CG Times"/>
                <w:b/>
                <w:bCs/>
                <w:sz w:val="18"/>
                <w:szCs w:val="18"/>
              </w:rPr>
            </w:pPr>
            <w:r>
              <w:rPr>
                <w:rFonts w:ascii="CG Times" w:hAnsi="CG Times"/>
                <w:b/>
                <w:bCs/>
                <w:sz w:val="18"/>
                <w:szCs w:val="18"/>
              </w:rPr>
              <w:t>DOMESTIC RELATIONS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Adoption (ADP 5)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Annulment/Invalidity (INV3)*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Challenge to Acknowledgment of Parentage (PAT 5)*</w:t>
            </w:r>
          </w:p>
        </w:tc>
        <w:tc>
          <w:tcPr>
            <w:tcW w:type="dxa" w:w="235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with dependent children? Y / N; wife pregnant? Y / N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Challenge to Denial of Parentage (PAT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Committed Intimate Relationship No Children (CIR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Confidential Intermediary (MSC 5)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 xml:space="preserve">Dissolution With </w:t>
            </w:r>
            <w:r>
              <w:rPr>
                <w:rFonts w:ascii="CG Times" w:hAnsi="CG Times"/>
                <w:sz w:val="18"/>
                <w:szCs w:val="18"/>
              </w:rPr>
              <w:t>Children  (DIC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 xml:space="preserve">Establish Parenting Plan-Existing King County Paternity (MSC 5)*  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Dissolution With No Children (DIN 3)*</w:t>
            </w:r>
          </w:p>
        </w:tc>
      </w:tr>
      <w:tr>
        <w:trPr>
          <w:trHeight w:hRule="atLeast" w:val="134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Initial Pre-Placement Report (PPR 5)</w:t>
            </w:r>
          </w:p>
        </w:tc>
        <w:tc>
          <w:tcPr>
            <w:tcW w:type="dxa" w:w="235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wife pregnant? Y /  N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Modification (MOD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Enforcement/Show Cause- Out of County (MSC 3)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Modification-Support Only (MDS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b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 xml:space="preserve">Establish Parenting Plan- includes CIR with Children (PPS 3)* </w:t>
            </w:r>
            <w:r>
              <w:rPr>
                <w:rFonts w:ascii="CG Times" w:hAnsi="CG Times"/>
                <w:b/>
                <w:sz w:val="18"/>
                <w:szCs w:val="18"/>
              </w:rPr>
              <w:t>££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Parentage, Establish/Disestablish  (PAT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b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 xml:space="preserve">Establish Support Only (PPS 3)* </w:t>
            </w:r>
            <w:r>
              <w:rPr>
                <w:rFonts w:ascii="CG Times" w:hAnsi="CG Times"/>
                <w:b/>
                <w:sz w:val="18"/>
                <w:szCs w:val="18"/>
              </w:rPr>
              <w:t>££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Parentage /UIFSA (PUR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Legal Separation (SEP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Relinquishment (REL 5)</w:t>
            </w:r>
          </w:p>
        </w:tc>
        <w:tc>
          <w:tcPr>
            <w:tcW w:type="dxa" w:w="235"/>
            <w:tcBorders>
              <w:top w:val="nil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with dependent children? Y / N; wife pregnant? Y / N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23"/>
              <w:spacing w:after="0" w:before="60" w:line="18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Relocation Objection/Modification (MOD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Mandatory Wage Assignment (MWA 3)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Rescission of Acknowledgment of Parentage (PAT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Modification (MOD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Rescission of Denial of Parentage (PAT 5)*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Modification - Support Only (MDS 3)*</w:t>
            </w:r>
          </w:p>
        </w:tc>
      </w:tr>
      <w:tr>
        <w:trPr>
          <w:trHeight w:hRule="atLeast" w:val="36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Termination of Parent-Child Relationship (TER 5)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Nonparental Custody (CUS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Out-of-state Custody Order Registration (OSC 3)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Out-of-State Support Court Order Registration (FJU 3)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Relocation Objection/Modification (MOD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APPEAL/REVIEW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color="00000A" w:space="0" w:sz="4" w:val="single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rFonts w:ascii="CG Times" w:hAnsi="CG Times"/>
                <w:b/>
                <w:bCs/>
                <w:sz w:val="18"/>
                <w:szCs w:val="18"/>
              </w:rPr>
            </w:pPr>
            <w:r>
              <w:rPr>
                <w:rFonts w:ascii="CG Times" w:hAnsi="CG Times"/>
                <w:b/>
                <w:bCs/>
                <w:sz w:val="18"/>
                <w:szCs w:val="18"/>
              </w:rPr>
              <w:t>DOMESTIC PARTNERSHIPS-REGISTERED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Administrative Law Review (ALR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ind w:hanging="0" w:left="0" w:right="-288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Dissolution of Domestic Partnership With Children (DPC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DOL Implied Consent—Test Refusal –only RCW 46.20.308  (DOL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 xml:space="preserve">Dissolution of Domestic Partnership- No Children-(DPN3)*    pregnant? Y / N                                               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Invalidity of Domestic Partnership (INP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with dependent children? Y / N; pregnant? Y / N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CONTRACT/COMMERCIAL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Legal Separation of Domestic Partnership (SPD 3)*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Breach of Contract (COM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with dependent children? Y / N; pregnant? Y / N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Commercial Contract (COM 2)*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Commercial Non-Contract (COL 2)*</w:t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bottom"/>
          </w:tcPr>
          <w:p>
            <w:pPr>
              <w:pStyle w:val="style0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DOMESTIC VIOLENCE/ANTIHARASSMENT</w:t>
            </w:r>
          </w:p>
        </w:tc>
      </w:tr>
      <w:tr>
        <w:trPr>
          <w:trHeight w:hRule="atLeast" w:val="390"/>
          <w:cantSplit w:val="false"/>
        </w:trPr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Third Party Collection (COL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vMerge w:val="restart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Certificate and Order of Discharge and for Issuance of a Separate No-Contact Order pursuant to RCW 9.94A.637.</w:t>
            </w:r>
          </w:p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Civil Harassment (HAR 2)</w:t>
            </w:r>
          </w:p>
        </w:tc>
      </w:tr>
      <w:tr>
        <w:trPr>
          <w:trHeight w:hRule="atLeast" w:val="390"/>
          <w:cantSplit w:val="false"/>
        </w:trPr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02"/>
            <w:vMerge w:val="continue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Domestic Violence (DVP 2)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bottom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Domestic Violence with Children (DVC 2)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Foreign Protection Order (FPO 2)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Sexual Assault Protection Order (SXP 2)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color="00000A" w:space="0" w:sz="4" w:val="single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Vulnerable Adult Protection (VAP 2)</w:t>
            </w:r>
          </w:p>
        </w:tc>
      </w:tr>
      <w:tr>
        <w:trPr>
          <w:trHeight w:hRule="atLeast" w:val="288"/>
          <w:cantSplit w:val="false"/>
        </w:trPr>
        <w:tc>
          <w:tcPr>
            <w:tcW w:type="dxa" w:w="235"/>
            <w:tcBorders>
              <w:top w:val="nil"/>
              <w:left w:val="nil"/>
              <w:bottom w:val="nil"/>
              <w:right w:val="nil"/>
            </w:tcBorders>
            <w:shd w:fill="FFFFFF" w:val="clear"/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511"/>
            <w:tcBorders>
              <w:top w:val="nil"/>
              <w:left w:val="nil"/>
              <w:bottom w:val="nil"/>
              <w:right w:val="nil"/>
            </w:tcBorders>
            <w:shd w:fill="FFFFFF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4502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</w:tbl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style0"/>
        <w:pageBreakBefore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KING COUNTY SUPERIOR COURT</w:t>
      </w:r>
    </w:p>
    <w:p>
      <w:pPr>
        <w:pStyle w:val="style0"/>
        <w:tabs>
          <w:tab w:leader="none" w:pos="600" w:val="left"/>
          <w:tab w:leader="none" w:pos="1723" w:val="left"/>
          <w:tab w:leader="none" w:pos="2638" w:val="left"/>
          <w:tab w:leader="none" w:pos="3552" w:val="left"/>
          <w:tab w:leader="none" w:pos="4886" w:val="left"/>
          <w:tab w:leader="none" w:pos="5726" w:val="left"/>
          <w:tab w:leader="none" w:pos="6326" w:val="left"/>
          <w:tab w:leader="none" w:pos="6926" w:val="left"/>
          <w:tab w:leader="none" w:pos="7841" w:val="left"/>
          <w:tab w:leader="none" w:pos="8964" w:val="left"/>
          <w:tab w:leader="none" w:pos="10087" w:val="left"/>
          <w:tab w:leader="none" w:pos="11422" w:val="left"/>
        </w:tabs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 xml:space="preserve">CASE ASSIGNMENT DESIGNATION </w:t>
      </w:r>
    </w:p>
    <w:p>
      <w:pPr>
        <w:pStyle w:val="style0"/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and</w:t>
      </w:r>
    </w:p>
    <w:p>
      <w:pPr>
        <w:pStyle w:val="style0"/>
        <w:jc w:val="center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  <w:t>CASE INFORMATION COVER SHEET</w:t>
      </w:r>
    </w:p>
    <w:p>
      <w:pPr>
        <w:pStyle w:val="style0"/>
        <w:jc w:val="center"/>
        <w:rPr>
          <w:rFonts w:ascii="CG Times" w:hAnsi="CG Times"/>
          <w:sz w:val="18"/>
          <w:szCs w:val="18"/>
        </w:rPr>
      </w:pPr>
      <w:r>
        <w:rPr>
          <w:rFonts w:ascii="CG Times" w:hAnsi="CG Times"/>
          <w:sz w:val="18"/>
          <w:szCs w:val="18"/>
        </w:rPr>
        <w:t xml:space="preserve">Please check </w:t>
      </w:r>
      <w:r>
        <w:rPr>
          <w:rFonts w:ascii="CG Times" w:hAnsi="CG Times"/>
          <w:sz w:val="18"/>
          <w:szCs w:val="18"/>
          <w:u w:val="single"/>
        </w:rPr>
        <w:t xml:space="preserve">one </w:t>
      </w:r>
      <w:r>
        <w:rPr>
          <w:rFonts w:ascii="CG Times" w:hAnsi="CG Times"/>
          <w:sz w:val="18"/>
          <w:szCs w:val="18"/>
        </w:rPr>
        <w:t>category that best describes this case for indexing purposes.</w:t>
      </w:r>
    </w:p>
    <w:p>
      <w:pPr>
        <w:pStyle w:val="style0"/>
        <w:rPr>
          <w:rFonts w:ascii="CG Times" w:hAnsi="CG Times"/>
          <w:b/>
          <w:color w:val="000000"/>
          <w:sz w:val="18"/>
          <w:szCs w:val="18"/>
        </w:rPr>
      </w:pPr>
      <w:r>
        <w:rPr>
          <w:rFonts w:ascii="CG Times" w:hAnsi="CG Times"/>
          <w:b/>
          <w:color w:val="000000"/>
          <w:sz w:val="18"/>
          <w:szCs w:val="18"/>
        </w:rPr>
      </w:r>
    </w:p>
    <w:tbl>
      <w:tblPr>
        <w:jc w:val="left"/>
        <w:tblInd w:type="dxa" w:w="52"/>
        <w:tblBorders>
          <w:top w:val="nil"/>
          <w:left w:val="nil"/>
          <w:bottom w:color="00000A" w:space="0" w:sz="4" w:val="single"/>
          <w:insideH w:color="00000A" w:space="0" w:sz="4" w:val="single"/>
          <w:right w:val="nil"/>
          <w:insideV w:val="nil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234"/>
        <w:gridCol w:w="5040"/>
        <w:gridCol w:w="235"/>
        <w:gridCol w:w="4446"/>
      </w:tblGrid>
      <w:tr>
        <w:trPr>
          <w:trHeight w:hRule="atLeast" w:val="252"/>
          <w:cantSplit w:val="true"/>
        </w:trPr>
        <w:tc>
          <w:tcPr>
            <w:tcW w:type="dxa" w:w="234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1"/>
              <w:rPr>
                <w:szCs w:val="18"/>
              </w:rPr>
            </w:pPr>
            <w:r>
              <w:rPr>
                <w:szCs w:val="18"/>
              </w:rPr>
              <w:t xml:space="preserve">        </w:t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</w:tcPr>
          <w:p>
            <w:pPr>
              <w:pStyle w:val="style1"/>
              <w:rPr>
                <w:szCs w:val="18"/>
              </w:rPr>
            </w:pPr>
            <w:r>
              <w:rPr>
                <w:szCs w:val="18"/>
              </w:rPr>
              <w:t>JUDGMENT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1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Estate (EST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Confession of Judgment (MSC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Foreign Will (FNW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Judgment, Another County, Abstract (ABJ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jc w:val="both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Guardian (GDN4)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Judgment, Another State or Country (FJU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jc w:val="both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Limited Guardianship (LGD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Tax Warrant (TAX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Minor Settlement  (MST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Transcript of Judgment (TRJ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Notice to Creditors – Only  (NNC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Registration of Trust (TRS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PROPERTY RIGHTS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Trust (TRS 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Condemnation/Eminent Domain (CON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Trust Estate Dispute Resolution Act/POA (TDR 4)</w:t>
            </w:r>
          </w:p>
        </w:tc>
      </w:tr>
      <w:tr>
        <w:trPr>
          <w:cantSplit w:val="tru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Foreclosure (FOR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Will Only—Deceased  (WLL4)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Land Use Petition (LUP 2)*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Property Fairness (PFA 2)*</w:t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TORT, ASBESTOS</w:t>
            </w:r>
          </w:p>
        </w:tc>
      </w:tr>
      <w:tr>
        <w:trPr>
          <w:cantSplit w:val="tru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Quiet Title (QTI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Personal Injury (PIN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Residential Unlawful Detainer (UND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Wrongful Death </w:t>
            </w:r>
            <w:r>
              <w:rPr>
                <w:rFonts w:ascii="CG Times" w:hAnsi="CG Times"/>
                <w:color w:val="000000"/>
                <w:sz w:val="18"/>
                <w:szCs w:val="18"/>
              </w:rPr>
              <w:t xml:space="preserve"> (WDE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Non-Residential Unlawful Detainer (UND 2)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jc w:val="both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jc w:val="both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sz w:val="18"/>
                <w:szCs w:val="18"/>
              </w:rPr>
            </w:pPr>
            <w:r>
              <w:rPr>
                <w:rFonts w:ascii="CG Times" w:hAnsi="CG Times"/>
                <w:b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TORT, MEDICAL MALPRACTICE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OTHER COMPLAINT/PETITION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Hospital (MED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Action to Compel/Confirm Private Binding Arbitration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Medical Doctor (MED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Certificate of Rehabilitation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Other Health Care Professional (MED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Change of Name-Sealed (CHN 5)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Deposit of Surplus Funds (MSC 2)</w:t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TORT, MOTOR VEHICLE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Emancipation of Minor (EOM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Death (TMV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Frivolous Claim of Lien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Non-Death Injuries (TMV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Injunction (INJ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FFFFFF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Property Damage Only (TMV 2)*</w:t>
            </w:r>
          </w:p>
        </w:tc>
      </w:tr>
      <w:tr>
        <w:trPr>
          <w:cantSplit w:val="tru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Interpleader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left w:type="dxa" w:w="103"/>
            </w:tcMar>
          </w:tcPr>
          <w:p>
            <w:pPr>
              <w:pStyle w:val="style1"/>
              <w:spacing w:after="0" w:before="60" w:line="240" w:lineRule="exact"/>
              <w:contextualSpacing w:val="false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FFFFFF" w:val="clear"/>
            <w:tcMar>
              <w:left w:type="dxa" w:w="103"/>
            </w:tcMar>
          </w:tcPr>
          <w:p>
            <w:pPr>
              <w:pStyle w:val="style0"/>
              <w:spacing w:after="0" w:before="60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Victims Vehicle Theft (VVT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Malicious Harassment (MHA 2)*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Other Complaint/Petition(MSC 2)*</w:t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1"/>
              <w:spacing w:after="0" w:before="60" w:line="240" w:lineRule="exact"/>
              <w:contextualSpacing w:val="false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TORT, NON-MOTOR VEHICLE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Public Records Act (PRA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1"/>
              <w:spacing w:after="0" w:before="60" w:line="240" w:lineRule="exact"/>
              <w:contextualSpacing w:val="false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Implants (PIN 2)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Receivership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1"/>
              <w:spacing w:after="0" w:before="60" w:line="240" w:lineRule="exact"/>
              <w:contextualSpacing w:val="false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Other Malpractice (MAL 2)*</w:t>
            </w:r>
          </w:p>
        </w:tc>
      </w:tr>
      <w:tr>
        <w:trPr>
          <w:trHeight w:hRule="atLeast" w:val="332"/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School District-Required Action Plan (SDR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1"/>
              <w:spacing w:after="0" w:before="60" w:line="240" w:lineRule="exact"/>
              <w:contextualSpacing w:val="false"/>
              <w:rPr>
                <w:szCs w:val="18"/>
              </w:rPr>
            </w:pPr>
            <w:r>
              <w:rPr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Personal Injury (PIN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Seizure of Property from the Commission of a Crime (SPC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Products Liability (TTO 2)*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Seizure of Property Resulting from a Crime (SPR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Property Damage (PRP2)*</w:t>
            </w:r>
          </w:p>
        </w:tc>
      </w:tr>
      <w:tr>
        <w:trPr>
          <w:trHeight w:hRule="atLeast" w:val="270"/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S</w:t>
            </w:r>
            <w:r>
              <w:rPr>
                <w:rFonts w:ascii="CG Times" w:hAnsi="CG Times"/>
                <w:color w:val="000000"/>
                <w:sz w:val="18"/>
                <w:szCs w:val="18"/>
              </w:rPr>
              <w:t>tructured Settlements (MSC 2)*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vMerge w:val="restart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Property Damage-Gang (PRG2)*</w:t>
            </w:r>
          </w:p>
          <w:p>
            <w:pPr>
              <w:pStyle w:val="style0"/>
              <w:spacing w:after="0" w:before="60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Tort, Other (TTO 2)*</w:t>
            </w:r>
          </w:p>
        </w:tc>
      </w:tr>
      <w:tr>
        <w:trPr>
          <w:trHeight w:hRule="atLeast" w:val="270"/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  <w:t>Subpoena (MSC 2)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vMerge w:val="continue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bCs/>
                <w:sz w:val="18"/>
                <w:szCs w:val="18"/>
              </w:rPr>
            </w:pPr>
            <w:r>
              <w:rPr>
                <w:rFonts w:ascii="CG Times" w:hAnsi="CG Times"/>
                <w:bCs/>
                <w:sz w:val="18"/>
                <w:szCs w:val="18"/>
              </w:rPr>
              <w:t>Vehicle Ownership (MSC2)*</w:t>
            </w:r>
          </w:p>
        </w:tc>
        <w:tc>
          <w:tcPr>
            <w:tcW w:type="dxa" w:w="235"/>
            <w:tcBorders>
              <w:top w:color="00000A" w:space="0" w:sz="4" w:val="single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 (W1)" w:hAnsi="CG Times (W1)"/>
                <w:sz w:val="18"/>
                <w:szCs w:val="18"/>
              </w:rPr>
            </w:pPr>
            <w:r>
              <w:rPr>
                <w:rFonts w:ascii="CG Times (W1)" w:hAnsi="CG Times (W1)"/>
                <w:sz w:val="18"/>
                <w:szCs w:val="18"/>
              </w:rPr>
            </w:r>
          </w:p>
        </w:tc>
        <w:tc>
          <w:tcPr>
            <w:tcW w:type="dxa" w:w="235"/>
            <w:tcBorders>
              <w:top w:val="nil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b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b/>
                <w:color w:val="000000"/>
                <w:sz w:val="18"/>
                <w:szCs w:val="18"/>
              </w:rPr>
              <w:t>WRIT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val="nil"/>
              <w:bottom w:color="00000A" w:space="0" w:sz="4" w:val="single"/>
              <w:right w:val="nil"/>
            </w:tcBorders>
            <w:shd w:fill="auto" w:val="clear"/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val="nil"/>
              <w:bottom w:val="nil"/>
              <w:right w:color="00000A" w:space="0" w:sz="4" w:val="single"/>
            </w:tcBorders>
            <w:shd w:fill="auto" w:val="clear"/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b/>
                <w:bCs/>
                <w:sz w:val="18"/>
                <w:szCs w:val="18"/>
              </w:rPr>
            </w:pPr>
            <w:r>
              <w:rPr>
                <w:rFonts w:ascii="CG Times" w:hAnsi="CG Times"/>
                <w:b/>
                <w:bCs/>
                <w:sz w:val="18"/>
                <w:szCs w:val="18"/>
              </w:rPr>
              <w:t>PROBATE/GUARDIANSHIP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Habeas Corpus (WHC 2)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Absentee (ABS 4)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Mandamus (WRM 2)**</w:t>
            </w:r>
          </w:p>
        </w:tc>
      </w:tr>
      <w:tr>
        <w:trPr>
          <w:cantSplit w:val="false"/>
        </w:trPr>
        <w:tc>
          <w:tcPr>
            <w:tcW w:type="dxa" w:w="23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5040"/>
            <w:tcBorders>
              <w:top w:val="nil"/>
              <w:left w:color="00000A" w:space="0" w:sz="4" w:val="single"/>
              <w:bottom w:val="nil"/>
              <w:right w:color="00000A" w:space="0" w:sz="4" w:val="single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2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Disclaimer (DSC4)</w:t>
            </w:r>
          </w:p>
        </w:tc>
        <w:tc>
          <w:tcPr>
            <w:tcW w:type="dxa" w:w="23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3"/>
            </w:tcMar>
          </w:tcPr>
          <w:p>
            <w:pPr>
              <w:pStyle w:val="style0"/>
              <w:spacing w:after="0" w:before="60" w:line="240" w:lineRule="exact"/>
              <w:contextualSpacing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type="dxa" w:w="4446"/>
            <w:tcBorders>
              <w:top w:val="nil"/>
              <w:left w:color="00000A" w:space="0" w:sz="4" w:val="single"/>
              <w:bottom w:val="nil"/>
              <w:right w:val="nil"/>
            </w:tcBorders>
            <w:shd w:fill="auto" w:val="clear"/>
            <w:tcMar>
              <w:left w:type="dxa" w:w="103"/>
            </w:tcMar>
            <w:vAlign w:val="center"/>
          </w:tcPr>
          <w:p>
            <w:pPr>
              <w:pStyle w:val="style0"/>
              <w:spacing w:after="0" w:before="60" w:line="240" w:lineRule="exact"/>
              <w:contextualSpacing w:val="false"/>
              <w:rPr>
                <w:rFonts w:ascii="CG Times" w:hAnsi="CG Times"/>
                <w:color w:val="000000"/>
                <w:sz w:val="18"/>
                <w:szCs w:val="18"/>
              </w:rPr>
            </w:pPr>
            <w:r>
              <w:rPr>
                <w:rFonts w:ascii="CG Times" w:hAnsi="CG Times"/>
                <w:color w:val="000000"/>
                <w:sz w:val="18"/>
                <w:szCs w:val="18"/>
              </w:rPr>
              <w:t>Review (WRV 2)**</w:t>
            </w:r>
          </w:p>
        </w:tc>
      </w:tr>
    </w:tbl>
    <w:p>
      <w:pPr>
        <w:pStyle w:val="style0"/>
        <w:spacing w:after="0" w:before="240" w:line="240" w:lineRule="exact"/>
        <w:contextualSpacing w:val="false"/>
        <w:rPr>
          <w:rFonts w:ascii="CG Times" w:hAnsi="CG Times"/>
          <w:color w:val="000000"/>
          <w:sz w:val="18"/>
          <w:szCs w:val="18"/>
        </w:rPr>
      </w:pPr>
      <w:r>
        <w:rPr>
          <w:b/>
          <w:sz w:val="28"/>
          <w:szCs w:val="28"/>
        </w:rPr>
        <w:t>£</w:t>
      </w:r>
      <w:r>
        <w:rPr>
          <w:sz w:val="22"/>
          <w:szCs w:val="22"/>
        </w:rPr>
        <w:t xml:space="preserve"> </w:t>
      </w:r>
      <w:r>
        <w:rPr>
          <w:sz w:val="18"/>
          <w:szCs w:val="18"/>
        </w:rPr>
        <w:t xml:space="preserve">Paternity Affidavit or Existing/Paternity is not an issue and NO other case exists in King County     </w:t>
      </w:r>
      <w:r>
        <w:rPr>
          <w:rFonts w:ascii="CG Times" w:hAnsi="CG Times"/>
          <w:color w:val="000000"/>
          <w:sz w:val="18"/>
          <w:szCs w:val="18"/>
        </w:rPr>
        <w:t>* The filing party will be given an appropriate case schedule at time of filing.   ** Case schedule will be issued after hearing and findings</w:t>
      </w:r>
    </w:p>
    <w:sectPr>
      <w:footerReference r:id="rId2" w:type="default"/>
      <w:type w:val="nextPage"/>
      <w:pgSz w:h="15840" w:w="12240"/>
      <w:pgMar w:bottom="576" w:footer="288" w:gutter="0" w:header="0" w:left="1440" w:right="1440" w:top="1152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G Times">
    <w:charset w:val="00"/>
    <w:family w:val="roman"/>
    <w:pitch w:val="variable"/>
  </w:font>
  <w:font w:name="Tahoma">
    <w:charset w:val="00"/>
    <w:family w:val="roman"/>
    <w:pitch w:val="variable"/>
  </w:font>
  <w:font w:name="CG Times (W1)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>
        <w:rStyle w:val="style16"/>
      </w:rPr>
      <w:fldChar w:fldCharType="begin"/>
    </w:r>
    <w:r>
      <w:instrText> PAGE </w:instrText>
    </w:r>
    <w:r>
      <w:fldChar w:fldCharType="separate"/>
    </w:r>
    <w:r/>
    <w:r>
      <w:fldChar w:fldCharType="end"/>
    </w:r>
    <w:pStyle w:val="style25"/>
    <w:top w:val="nil"/>
    <w:left w:val="nil"/>
    <w:bottom w:val="nil"/>
    <w:insideH w:val="nil"/>
    <w:right w:val="nil"/>
    <w:insideV w:val="nil"/>
    <w:pPr>
      <w:rPr>
        <w:rStyle w:val="style16"/>
      </w:rPr>
    </w:pPr>
  </w:p>
  <w:p>
    <w:pPr>
      <w:pStyle w:val="style25"/>
      <w:ind w:hanging="0" w:left="0" w:right="360"/>
      <w:rPr>
        <w:sz w:val="16"/>
        <w:szCs w:val="16"/>
      </w:rPr>
    </w:pPr>
    <w:r>
      <w:rPr>
        <w:sz w:val="16"/>
        <w:szCs w:val="16"/>
      </w:rPr>
      <w:t>L/forms/cashiers/CICS rev. 2/2013</w:t>
    </w:r>
  </w:p>
</w:ftr>
</file>

<file path=word/settings.xml><?xml version="1.0" encoding="utf-8"?>
<w:settings xmlns:w="http://schemas.openxmlformats.org/wordprocessingml/2006/main">
  <w:zoom w:percent="106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overflowPunct w:val="true"/>
      <w:textAlignment w:val="baseline"/>
    </w:pPr>
    <w:rPr>
      <w:rFonts w:ascii="Times New Roman" w:cs="Times New Roman" w:eastAsia="Times New Roman" w:hAnsi="Times New Roman"/>
      <w:color w:val="auto"/>
      <w:sz w:val="24"/>
      <w:szCs w:val="20"/>
      <w:lang w:bidi="ar-SA" w:eastAsia="en-US" w:val="en-US"/>
    </w:rPr>
  </w:style>
  <w:style w:styleId="style1" w:type="paragraph">
    <w:name w:val="Heading 1"/>
    <w:basedOn w:val="style0"/>
    <w:next w:val="style1"/>
    <w:pPr>
      <w:keepNext/>
      <w:spacing w:line="220" w:lineRule="exact"/>
    </w:pPr>
    <w:rPr>
      <w:rFonts w:ascii="CG Times" w:hAnsi="CG Times"/>
      <w:b/>
      <w:color w:val="000000"/>
      <w:sz w:val="18"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Header Char"/>
    <w:basedOn w:val="style15"/>
    <w:next w:val="style17"/>
    <w:rPr>
      <w:sz w:val="24"/>
    </w:rPr>
  </w:style>
  <w:style w:styleId="style18" w:type="paragraph">
    <w:name w:val="Heading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"/>
    <w:basedOn w:val="style19"/>
    <w:next w:val="style20"/>
    <w:pPr/>
    <w:rPr>
      <w:rFonts w:cs="Mangal"/>
    </w:rPr>
  </w:style>
  <w:style w:styleId="style21" w:type="paragraph">
    <w:name w:val="Caption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Mangal"/>
    </w:rPr>
  </w:style>
  <w:style w:styleId="style23" w:type="paragraph">
    <w:name w:val="Header"/>
    <w:basedOn w:val="style0"/>
    <w:next w:val="style23"/>
    <w:pPr>
      <w:tabs>
        <w:tab w:leader="none" w:pos="4320" w:val="center"/>
        <w:tab w:leader="none" w:pos="8640" w:val="right"/>
      </w:tabs>
    </w:pPr>
    <w:rPr/>
  </w:style>
  <w:style w:styleId="style24" w:type="paragraph">
    <w:name w:val="Balloon Text"/>
    <w:basedOn w:val="style0"/>
    <w:next w:val="style24"/>
    <w:pPr/>
    <w:rPr>
      <w:rFonts w:ascii="Tahoma" w:cs="Tahoma" w:hAnsi="Tahoma"/>
      <w:sz w:val="16"/>
      <w:szCs w:val="16"/>
    </w:rPr>
  </w:style>
  <w:style w:styleId="style25" w:type="paragraph">
    <w:name w:val="Footer"/>
    <w:basedOn w:val="style0"/>
    <w:next w:val="style25"/>
    <w:pPr>
      <w:tabs>
        <w:tab w:leader="none" w:pos="4320" w:val="center"/>
        <w:tab w:leader="none" w:pos="8640" w:val="right"/>
      </w:tabs>
    </w:pPr>
    <w:rPr/>
  </w:style>
  <w:style w:styleId="style26" w:type="paragraph">
    <w:name w:val="Normal (Web)"/>
    <w:basedOn w:val="style0"/>
    <w:next w:val="style26"/>
    <w:pPr>
      <w:overflowPunct w:val="false"/>
      <w:spacing w:after="280" w:before="280"/>
      <w:contextualSpacing w:val="false"/>
      <w:textAlignment w:val="auto"/>
    </w:pPr>
    <w:rPr>
      <w:color w:val="000000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2013-03-02T01:40:00Z</dcterms:created>
  <dc:creator>lazzark</dc:creator>
  <cp:lastModifiedBy>taylorb</cp:lastModifiedBy>
  <cp:lastPrinted>2011-11-30T17:37:00Z</cp:lastPrinted>
  <dcterms:modified xsi:type="dcterms:W3CDTF">2013-03-02T01:40:00Z</dcterms:modified>
  <cp:revision>2</cp:revision>
  <dc:title>KING COUNTY SUPERIOR COURT</dc:title>
</cp:coreProperties>
</file>